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168755">
      <w:pPr>
        <w:spacing w:line="360" w:lineRule="auto"/>
        <w:ind w:right="-57" w:rightChars="-27"/>
        <w:jc w:val="center"/>
        <w:rPr>
          <w:rFonts w:hint="eastAsia" w:ascii="宋体" w:hAnsi="宋体"/>
          <w:b/>
          <w:bCs/>
          <w:sz w:val="24"/>
          <w:szCs w:val="24"/>
          <w:lang w:val="en-US" w:eastAsia="zh-CN"/>
        </w:rPr>
      </w:pPr>
      <w:r>
        <w:rPr>
          <w:rFonts w:hint="eastAsia" w:ascii="宋体" w:hAnsi="宋体"/>
          <w:b/>
          <w:bCs/>
          <w:sz w:val="24"/>
          <w:szCs w:val="24"/>
        </w:rPr>
        <w:t>山东电子职业技术学</w:t>
      </w:r>
      <w:r>
        <w:rPr>
          <w:rFonts w:hint="eastAsia" w:ascii="宋体" w:hAnsi="宋体" w:eastAsia="宋体"/>
          <w:b/>
          <w:bCs/>
          <w:sz w:val="24"/>
          <w:szCs w:val="24"/>
        </w:rPr>
        <w:t>院</w:t>
      </w:r>
      <w:r>
        <w:rPr>
          <w:rFonts w:hint="eastAsia" w:ascii="宋体" w:hAnsi="宋体"/>
          <w:b/>
          <w:bCs/>
          <w:sz w:val="24"/>
          <w:szCs w:val="24"/>
          <w:lang w:eastAsia="zh-CN"/>
        </w:rPr>
        <w:t>（财务共享服务业务处理实践教学软件租赁服务项目</w:t>
      </w:r>
      <w:r>
        <w:rPr>
          <w:rFonts w:hint="eastAsia" w:ascii="宋体" w:hAnsi="宋体"/>
          <w:b/>
          <w:bCs/>
          <w:sz w:val="24"/>
          <w:szCs w:val="24"/>
          <w:lang w:val="en-US" w:eastAsia="zh-CN"/>
        </w:rPr>
        <w:t>）</w:t>
      </w:r>
    </w:p>
    <w:p w14:paraId="7C4C409A">
      <w:pPr>
        <w:spacing w:line="360" w:lineRule="auto"/>
        <w:ind w:right="-57" w:rightChars="-27"/>
        <w:jc w:val="center"/>
        <w:rPr>
          <w:rFonts w:hint="eastAsia" w:ascii="宋体" w:hAnsi="宋体" w:eastAsia="宋体"/>
          <w:b/>
          <w:bCs/>
          <w:sz w:val="24"/>
          <w:szCs w:val="24"/>
        </w:rPr>
      </w:pPr>
      <w:r>
        <w:rPr>
          <w:rFonts w:hint="eastAsia" w:ascii="宋体" w:hAnsi="宋体" w:eastAsia="宋体"/>
          <w:b/>
          <w:bCs/>
          <w:sz w:val="24"/>
          <w:szCs w:val="24"/>
        </w:rPr>
        <w:t>需求明细表</w:t>
      </w:r>
    </w:p>
    <w:p w14:paraId="6897A3CD">
      <w:pPr>
        <w:spacing w:line="360" w:lineRule="auto"/>
        <w:ind w:right="-57" w:rightChars="-27"/>
        <w:jc w:val="right"/>
        <w:rPr>
          <w:rFonts w:hint="eastAsia" w:ascii="宋体" w:hAnsi="宋体"/>
          <w:bCs/>
          <w:sz w:val="24"/>
          <w:szCs w:val="24"/>
        </w:rPr>
      </w:pPr>
      <w:r>
        <w:rPr>
          <w:rFonts w:hint="eastAsia" w:ascii="宋体" w:hAnsi="宋体"/>
          <w:bCs/>
          <w:sz w:val="24"/>
          <w:szCs w:val="24"/>
        </w:rPr>
        <w:t>服务类项目</w:t>
      </w:r>
    </w:p>
    <w:tbl>
      <w:tblPr>
        <w:tblStyle w:val="3"/>
        <w:tblW w:w="0" w:type="auto"/>
        <w:tblInd w:w="-6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4"/>
        <w:gridCol w:w="889"/>
        <w:gridCol w:w="7392"/>
      </w:tblGrid>
      <w:tr w14:paraId="363C1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4" w:type="dxa"/>
            <w:shd w:val="clear" w:color="auto" w:fill="auto"/>
            <w:noWrap w:val="0"/>
            <w:vAlign w:val="center"/>
          </w:tcPr>
          <w:p w14:paraId="4CC7221B">
            <w:pPr>
              <w:spacing w:line="380" w:lineRule="exact"/>
              <w:ind w:right="-57" w:rightChars="-27"/>
              <w:jc w:val="center"/>
              <w:rPr>
                <w:rFonts w:hint="eastAsia" w:ascii="宋体" w:hAnsi="宋体"/>
                <w:bCs/>
                <w:sz w:val="24"/>
                <w:szCs w:val="24"/>
              </w:rPr>
            </w:pPr>
            <w:r>
              <w:rPr>
                <w:rFonts w:hint="eastAsia" w:ascii="宋体" w:hAnsi="宋体"/>
                <w:bCs/>
                <w:sz w:val="24"/>
                <w:szCs w:val="24"/>
              </w:rPr>
              <w:t>序号</w:t>
            </w:r>
          </w:p>
        </w:tc>
        <w:tc>
          <w:tcPr>
            <w:tcW w:w="889" w:type="dxa"/>
            <w:shd w:val="clear" w:color="auto" w:fill="auto"/>
            <w:noWrap w:val="0"/>
            <w:vAlign w:val="center"/>
          </w:tcPr>
          <w:p w14:paraId="46213C30">
            <w:pPr>
              <w:spacing w:line="380" w:lineRule="exact"/>
              <w:ind w:right="-57" w:rightChars="-27"/>
              <w:jc w:val="center"/>
              <w:rPr>
                <w:rFonts w:hint="eastAsia" w:ascii="宋体" w:hAnsi="宋体"/>
                <w:bCs/>
                <w:sz w:val="24"/>
                <w:szCs w:val="24"/>
              </w:rPr>
            </w:pPr>
            <w:r>
              <w:rPr>
                <w:rFonts w:hint="eastAsia" w:ascii="宋体" w:hAnsi="宋体"/>
                <w:bCs/>
                <w:sz w:val="24"/>
                <w:szCs w:val="24"/>
                <w:lang w:val="en-US" w:eastAsia="zh-CN"/>
              </w:rPr>
              <w:t>服务分项</w:t>
            </w:r>
            <w:r>
              <w:rPr>
                <w:rFonts w:hint="eastAsia" w:ascii="宋体" w:hAnsi="宋体"/>
                <w:bCs/>
                <w:sz w:val="24"/>
                <w:szCs w:val="24"/>
              </w:rPr>
              <w:t>名称</w:t>
            </w:r>
          </w:p>
        </w:tc>
        <w:tc>
          <w:tcPr>
            <w:tcW w:w="7392" w:type="dxa"/>
            <w:shd w:val="clear" w:color="auto" w:fill="auto"/>
            <w:noWrap w:val="0"/>
            <w:vAlign w:val="center"/>
          </w:tcPr>
          <w:p w14:paraId="22A98DEF">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lang w:val="en-US" w:eastAsia="zh-CN"/>
                <w14:textFill>
                  <w14:solidFill>
                    <w14:schemeClr w14:val="tx1"/>
                  </w14:solidFill>
                </w14:textFill>
              </w:rPr>
              <w:t>技术参数</w:t>
            </w:r>
            <w:r>
              <w:rPr>
                <w:rFonts w:hint="eastAsia" w:ascii="宋体" w:hAnsi="宋体" w:eastAsia="宋体" w:cs="宋体"/>
                <w:color w:val="000000" w:themeColor="text1"/>
                <w:sz w:val="18"/>
                <w:szCs w:val="18"/>
                <w:shd w:val="clear" w:color="auto" w:fill="FFFFFF"/>
                <w14:textFill>
                  <w14:solidFill>
                    <w14:schemeClr w14:val="tx1"/>
                  </w14:solidFill>
                </w14:textFill>
              </w:rPr>
              <w:t>要求</w:t>
            </w:r>
          </w:p>
        </w:tc>
      </w:tr>
      <w:tr w14:paraId="1CDF4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4" w:type="dxa"/>
            <w:shd w:val="clear" w:color="auto" w:fill="auto"/>
            <w:noWrap w:val="0"/>
            <w:vAlign w:val="center"/>
          </w:tcPr>
          <w:p w14:paraId="30AB75F8">
            <w:pPr>
              <w:spacing w:line="380" w:lineRule="exact"/>
              <w:ind w:right="-57" w:rightChars="-27"/>
              <w:jc w:val="center"/>
              <w:rPr>
                <w:rFonts w:hint="eastAsia" w:ascii="宋体" w:hAnsi="宋体" w:eastAsia="宋体"/>
                <w:bCs/>
                <w:sz w:val="24"/>
                <w:szCs w:val="24"/>
                <w:lang w:val="en-US" w:eastAsia="zh-CN"/>
              </w:rPr>
            </w:pPr>
            <w:r>
              <w:rPr>
                <w:rFonts w:hint="eastAsia" w:ascii="宋体" w:hAnsi="宋体"/>
                <w:bCs/>
                <w:sz w:val="24"/>
                <w:szCs w:val="24"/>
                <w:lang w:val="en-US" w:eastAsia="zh-CN"/>
              </w:rPr>
              <w:t>1</w:t>
            </w:r>
          </w:p>
        </w:tc>
        <w:tc>
          <w:tcPr>
            <w:tcW w:w="889" w:type="dxa"/>
            <w:shd w:val="clear" w:color="auto" w:fill="auto"/>
            <w:noWrap w:val="0"/>
            <w:vAlign w:val="center"/>
          </w:tcPr>
          <w:p w14:paraId="49198B2B">
            <w:pPr>
              <w:spacing w:line="380" w:lineRule="exact"/>
              <w:jc w:val="center"/>
              <w:rPr>
                <w:rFonts w:hint="default" w:ascii="宋体" w:hAnsi="宋体" w:eastAsia="宋体"/>
                <w:bCs/>
                <w:sz w:val="24"/>
                <w:szCs w:val="24"/>
                <w:lang w:val="en-US" w:eastAsia="zh-CN"/>
              </w:rPr>
            </w:pPr>
            <w:r>
              <w:rPr>
                <w:rFonts w:hint="default" w:ascii="宋体" w:hAnsi="宋体" w:eastAsia="宋体"/>
                <w:bCs/>
                <w:sz w:val="24"/>
                <w:szCs w:val="24"/>
                <w:lang w:val="en-US" w:eastAsia="zh-CN"/>
              </w:rPr>
              <w:t>财务共享服务业务处理实践教学软件租赁服务</w:t>
            </w:r>
          </w:p>
        </w:tc>
        <w:tc>
          <w:tcPr>
            <w:tcW w:w="7392" w:type="dxa"/>
            <w:shd w:val="clear" w:color="auto" w:fill="auto"/>
            <w:noWrap w:val="0"/>
            <w:vAlign w:val="center"/>
          </w:tcPr>
          <w:p w14:paraId="28D8BA2E">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 xml:space="preserve"> </w:t>
            </w:r>
          </w:p>
          <w:p w14:paraId="7BC582F3">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lang w:val="en-US" w:eastAsia="zh-CN"/>
                <w14:textFill>
                  <w14:solidFill>
                    <w14:schemeClr w14:val="tx1"/>
                  </w14:solidFill>
                </w14:textFill>
              </w:rPr>
              <w:t xml:space="preserve"> </w:t>
            </w:r>
            <w:r>
              <w:rPr>
                <w:rFonts w:hint="eastAsia" w:ascii="宋体" w:hAnsi="宋体" w:eastAsia="宋体" w:cs="宋体"/>
                <w:color w:val="000000" w:themeColor="text1"/>
                <w:sz w:val="18"/>
                <w:szCs w:val="18"/>
                <w:shd w:val="clear" w:color="auto" w:fill="FFFFFF"/>
                <w14:textFill>
                  <w14:solidFill>
                    <w14:schemeClr w14:val="tx1"/>
                  </w14:solidFill>
                </w14:textFill>
              </w:rPr>
              <w:t xml:space="preserve"> </w:t>
            </w:r>
            <w:r>
              <w:rPr>
                <w:rFonts w:hint="eastAsia" w:ascii="宋体" w:hAnsi="宋体" w:eastAsia="宋体" w:cs="宋体"/>
                <w:color w:val="000000" w:themeColor="text1"/>
                <w:sz w:val="18"/>
                <w:szCs w:val="18"/>
                <w:shd w:val="clear" w:color="auto" w:fill="FFFFFF"/>
                <w:lang w:val="en-US" w:eastAsia="zh-CN"/>
                <w14:textFill>
                  <w14:solidFill>
                    <w14:schemeClr w14:val="tx1"/>
                  </w14:solidFill>
                </w14:textFill>
              </w:rPr>
              <w:t>财务共享服务业务处理教学软件须以</w:t>
            </w:r>
            <w:r>
              <w:rPr>
                <w:rFonts w:hint="eastAsia" w:ascii="宋体" w:hAnsi="宋体" w:eastAsia="宋体" w:cs="宋体"/>
                <w:color w:val="000000" w:themeColor="text1"/>
                <w:sz w:val="18"/>
                <w:szCs w:val="18"/>
                <w:shd w:val="clear" w:color="auto" w:fill="FFFFFF"/>
                <w14:textFill>
                  <w14:solidFill>
                    <w14:schemeClr w14:val="tx1"/>
                  </w14:solidFill>
                </w14:textFill>
              </w:rPr>
              <w:t>真实产业场景应用的实践教学平台讲授共享模式下案例企业的典型业务应用示例，通过完整的业务背景、生动的业务场景和智能的财务应用，让学生在一款主流的财务共享服务管理信息系统中进行业务处理，深入体验核心业务流程的多岗协同和业财税资一体化。</w:t>
            </w:r>
            <w:bookmarkStart w:id="0" w:name="_GoBack"/>
            <w:bookmarkEnd w:id="0"/>
          </w:p>
          <w:p w14:paraId="6F9CED6D">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lang w:val="en-US" w:eastAsia="zh-CN"/>
                <w14:textFill>
                  <w14:solidFill>
                    <w14:schemeClr w14:val="tx1"/>
                  </w14:solidFill>
                </w14:textFill>
              </w:rPr>
              <w:t xml:space="preserve">（1）部署方案：软件云端部署。 </w:t>
            </w:r>
          </w:p>
          <w:p w14:paraId="6056D769">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lang w:val="en-US" w:eastAsia="zh-CN"/>
                <w14:textFill>
                  <w14:solidFill>
                    <w14:schemeClr w14:val="tx1"/>
                  </w14:solidFill>
                </w14:textFill>
              </w:rPr>
              <w:t xml:space="preserve">（2）培训方案：提供线上或线下教师培训，确保教师熟练使用软件操作。 </w:t>
            </w:r>
          </w:p>
          <w:p w14:paraId="62E88C05">
            <w:pPr>
              <w:spacing w:line="380" w:lineRule="exact"/>
              <w:jc w:val="left"/>
              <w:rPr>
                <w:rFonts w:hint="default" w:ascii="宋体" w:hAnsi="宋体" w:eastAsia="宋体" w:cs="宋体"/>
                <w:color w:val="000000" w:themeColor="text1"/>
                <w:sz w:val="18"/>
                <w:szCs w:val="18"/>
                <w:shd w:val="clear" w:color="auto" w:fill="FFFFFF"/>
                <w:lang w:val="en-US" w:eastAsia="zh-CN"/>
                <w14:textFill>
                  <w14:solidFill>
                    <w14:schemeClr w14:val="tx1"/>
                  </w14:solidFill>
                </w14:textFill>
              </w:rPr>
            </w:pPr>
            <w:r>
              <w:rPr>
                <w:rFonts w:hint="eastAsia" w:ascii="宋体" w:hAnsi="宋体" w:eastAsia="宋体" w:cs="宋体"/>
                <w:color w:val="000000" w:themeColor="text1"/>
                <w:sz w:val="18"/>
                <w:szCs w:val="18"/>
                <w:shd w:val="clear" w:color="auto" w:fill="FFFFFF"/>
                <w:lang w:val="en-US" w:eastAsia="zh-CN"/>
                <w14:textFill>
                  <w14:solidFill>
                    <w14:schemeClr w14:val="tx1"/>
                  </w14:solidFill>
                </w14:textFill>
              </w:rPr>
              <w:t>（3）租赁服务许可期限：</w:t>
            </w:r>
            <w:r>
              <w:rPr>
                <w:rFonts w:hint="eastAsia" w:ascii="宋体" w:hAnsi="宋体" w:cs="宋体"/>
                <w:color w:val="000000" w:themeColor="text1"/>
                <w:sz w:val="18"/>
                <w:szCs w:val="18"/>
                <w:shd w:val="clear" w:color="auto" w:fill="FFFFFF"/>
                <w:lang w:val="en-US" w:eastAsia="zh-CN"/>
                <w14:textFill>
                  <w14:solidFill>
                    <w14:schemeClr w14:val="tx1"/>
                  </w14:solidFill>
                </w14:textFill>
              </w:rPr>
              <w:t>11周</w:t>
            </w:r>
          </w:p>
          <w:p w14:paraId="52F1504F">
            <w:pPr>
              <w:spacing w:line="380" w:lineRule="exact"/>
              <w:jc w:val="left"/>
              <w:rPr>
                <w:rFonts w:hint="eastAsia" w:ascii="宋体" w:hAnsi="宋体" w:eastAsia="宋体" w:cs="宋体"/>
                <w:color w:val="000000" w:themeColor="text1"/>
                <w:sz w:val="18"/>
                <w:szCs w:val="18"/>
                <w:shd w:val="clear" w:color="auto" w:fill="FFFFFF"/>
                <w:lang w:val="en-US" w:eastAsia="zh-CN"/>
                <w14:textFill>
                  <w14:solidFill>
                    <w14:schemeClr w14:val="tx1"/>
                  </w14:solidFill>
                </w14:textFill>
              </w:rPr>
            </w:pPr>
            <w:r>
              <w:rPr>
                <w:rFonts w:hint="eastAsia" w:ascii="宋体" w:hAnsi="宋体" w:eastAsia="宋体" w:cs="宋体"/>
                <w:color w:val="000000" w:themeColor="text1"/>
                <w:sz w:val="18"/>
                <w:szCs w:val="18"/>
                <w:shd w:val="clear" w:color="auto" w:fill="FFFFFF"/>
                <w:lang w:val="en-US" w:eastAsia="zh-CN"/>
                <w14:textFill>
                  <w14:solidFill>
                    <w14:schemeClr w14:val="tx1"/>
                  </w14:solidFill>
                </w14:textFill>
              </w:rPr>
              <w:t>（4）租赁服务许可人数：</w:t>
            </w:r>
            <w:r>
              <w:rPr>
                <w:rFonts w:hint="eastAsia" w:ascii="宋体" w:hAnsi="宋体" w:cs="宋体"/>
                <w:color w:val="000000" w:themeColor="text1"/>
                <w:sz w:val="18"/>
                <w:szCs w:val="18"/>
                <w:shd w:val="clear" w:color="auto" w:fill="FFFFFF"/>
                <w:lang w:val="en-US" w:eastAsia="zh-CN"/>
                <w14:textFill>
                  <w14:solidFill>
                    <w14:schemeClr w14:val="tx1"/>
                  </w14:solidFill>
                </w14:textFill>
              </w:rPr>
              <w:t>227</w:t>
            </w:r>
            <w:r>
              <w:rPr>
                <w:rFonts w:hint="eastAsia" w:ascii="宋体" w:hAnsi="宋体" w:eastAsia="宋体" w:cs="宋体"/>
                <w:color w:val="000000" w:themeColor="text1"/>
                <w:sz w:val="18"/>
                <w:szCs w:val="18"/>
                <w:shd w:val="clear" w:color="auto" w:fill="FFFFFF"/>
                <w:lang w:val="en-US" w:eastAsia="zh-CN"/>
                <w14:textFill>
                  <w14:solidFill>
                    <w14:schemeClr w14:val="tx1"/>
                  </w14:solidFill>
                </w14:textFill>
              </w:rPr>
              <w:t>人</w:t>
            </w:r>
          </w:p>
          <w:p w14:paraId="3AB5A61A">
            <w:pPr>
              <w:spacing w:line="380" w:lineRule="exact"/>
              <w:jc w:val="left"/>
              <w:rPr>
                <w:rFonts w:hint="default" w:ascii="宋体" w:hAnsi="宋体" w:eastAsia="宋体" w:cs="宋体"/>
                <w:color w:val="000000" w:themeColor="text1"/>
                <w:sz w:val="18"/>
                <w:szCs w:val="18"/>
                <w:shd w:val="clear" w:color="auto" w:fill="FFFFFF"/>
                <w:lang w:val="en-US" w:eastAsia="zh-CN"/>
                <w14:textFill>
                  <w14:solidFill>
                    <w14:schemeClr w14:val="tx1"/>
                  </w14:solidFill>
                </w14:textFill>
              </w:rPr>
            </w:pPr>
            <w:r>
              <w:rPr>
                <w:rFonts w:hint="eastAsia" w:ascii="宋体" w:hAnsi="宋体" w:cs="宋体"/>
                <w:color w:val="000000" w:themeColor="text1"/>
                <w:sz w:val="18"/>
                <w:szCs w:val="18"/>
                <w:shd w:val="clear" w:color="auto" w:fill="FFFFFF"/>
                <w:lang w:val="en-US" w:eastAsia="zh-CN"/>
                <w14:textFill>
                  <w14:solidFill>
                    <w14:schemeClr w14:val="tx1"/>
                  </w14:solidFill>
                </w14:textFill>
              </w:rPr>
              <w:t>软件功能要求：</w:t>
            </w:r>
          </w:p>
          <w:p w14:paraId="30394A22">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在财务共享服务管理信息系统中进行业务处理，深入体验核心业务流程的多岗协同和业财税资一体化。</w:t>
            </w:r>
          </w:p>
          <w:p w14:paraId="1EEFA84F">
            <w:pPr>
              <w:pStyle w:val="2"/>
              <w:ind w:left="0" w:leftChars="0" w:firstLine="0" w:firstLineChars="0"/>
              <w:rPr>
                <w:rFonts w:hint="eastAsia" w:ascii="宋体" w:hAnsi="宋体" w:eastAsia="宋体" w:cs="宋体"/>
                <w:color w:val="000000" w:themeColor="text1"/>
                <w:sz w:val="18"/>
                <w:szCs w:val="18"/>
                <w:shd w:val="clear" w:color="auto" w:fill="FFFFFF"/>
                <w14:textFill>
                  <w14:solidFill>
                    <w14:schemeClr w14:val="tx1"/>
                  </w14:solidFill>
                </w14:textFill>
              </w:rPr>
            </w:pPr>
          </w:p>
          <w:p w14:paraId="114C8B18">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一、教学平台功能</w:t>
            </w:r>
          </w:p>
          <w:p w14:paraId="37D1151A">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（一）院校管理功能</w:t>
            </w:r>
          </w:p>
          <w:p w14:paraId="12FF196B">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管理员工作台：支持依据角色的使用场景进入不同的工作台。支持管理员查看本校基本统计信息，包括成员总数，学生数，教师数，当前在线人数。可查看本校自建或购买的课程数量，本校教学班的教学中、未开始和已完成数量。可查看本校相关项目的购买数量和自建数量等。</w:t>
            </w:r>
          </w:p>
          <w:p w14:paraId="03519F8F">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2.基本信息：学校可自主维护学校信息，如：院校简介、院校logo等基本信息进行维护。</w:t>
            </w:r>
          </w:p>
          <w:p w14:paraId="66BDC9C0">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3.公告管理：发布学校公告，并支持随时新建发布、编辑、删除等操作。</w:t>
            </w:r>
          </w:p>
          <w:p w14:paraId="4DBE95FB">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4.组织架构管理：支持建设院校下的学院、专业、班级；支持自定义名称；支持通过导入成员的方式自动生成学校的组织架构；支持组织结构的增加、修改；支持专业或班级调整所属学院\专业。</w:t>
            </w:r>
          </w:p>
          <w:p w14:paraId="5B116BC1">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5.教师信息管理：支持新增\批量导入教师，并进行基本信息维护（姓名、性别、学院、专业、教工号、手机、邮箱等）；支持批量修改用户登录密码；支持批量删除教师。</w:t>
            </w:r>
          </w:p>
          <w:p w14:paraId="6F2FC59C">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6.学生信息管理：新增\批量导入学生名单，并进行基本信息维护（姓名、性别、学院、专业、班级、学号、邮箱、手机等）。支持批量修改用户登录密码；支持设置学生毕业；支持批量删除学生。</w:t>
            </w:r>
          </w:p>
          <w:p w14:paraId="36AAEE69">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7.在线用户管理：支持查看当前在线用户人数、授权使用率和最大在线人数。支持查看在线用户详情，包括但不少于姓名、角色、所在组织机构、使用设备、登录时间和在线时长。支持进行下线和批量下线操作。</w:t>
            </w:r>
          </w:p>
          <w:p w14:paraId="56987BC4">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8.课程管理：支持给课程进行团队管理。支持查看课程列表，搜索课程。</w:t>
            </w:r>
          </w:p>
          <w:p w14:paraId="638D0D04">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9.项目管理：展示学校已购买课程的全部项目，可以查看项目名称、项目类型、项目难度、版本等信息；支持按照项目名称、编码等搜索项目。</w:t>
            </w:r>
          </w:p>
          <w:p w14:paraId="10817529">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（二）教师平台功能</w:t>
            </w:r>
          </w:p>
          <w:p w14:paraId="2AB64C57">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1.支持用户修改姓名、性别、头像、个性签名等信息；支持用户退出登录；</w:t>
            </w:r>
          </w:p>
          <w:p w14:paraId="6DD90B80">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2.支持查看待办事项，包含未发布、进行中教学班和考试；</w:t>
            </w:r>
          </w:p>
          <w:p w14:paraId="1F8A783A">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3.支持查看个人创建的课程开班情况、课程考勤情况、课程完成情况、课程总结提交情况；教师本人管理班级中，支持查看教学班的学生成绩排行榜与学生能力排行榜；学生完成课程项目后，支持展示学生能力词云、职业能力成长信息；</w:t>
            </w:r>
          </w:p>
          <w:p w14:paraId="23B49920">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4、支持创建教学班，选择已有课程或自定义课程内容添加教学内容；支持发布、复制、删除、关闭教学班；支持设置教学班名称、开始时间、结束时间；支持直接授权，选择班级加入学生；支持邀请码授权，生成邀请码，邀请码模式支持审批后加入或不审批直接加入。</w:t>
            </w:r>
          </w:p>
          <w:p w14:paraId="6FD1D93B">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5.基本教学信息看板：项目、课程、班级、教学实施情况等；支持从教师工作台直接查看公告、去上课等应用入口；支持创建教学班，选择已有课程或自定义课程内容添加教学内容；</w:t>
            </w:r>
          </w:p>
          <w:p w14:paraId="7CC8DB37">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6.支持创建后编辑课程名称、课程标签、课程概述、课程目标、预学知识；</w:t>
            </w:r>
          </w:p>
          <w:p w14:paraId="7C832BC0">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7.支持闯关、自由两种教学模式。支持推送任务后收回推送；</w:t>
            </w:r>
          </w:p>
          <w:p w14:paraId="7AD83708">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8.支持针对教学内容进行灵活设置，添加删除项目、调整项目顺序，添加删除项目任务等。支持教师添加和修改或替换视频、文档、网页链接、富文本、作业、团队成果、随堂测验等内容，更好的个性化教学。</w:t>
            </w:r>
          </w:p>
          <w:p w14:paraId="6A02EE66">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9.展示班级内班级人数、学习人次、实战项目数量、理论项目数量、总能力值、课程思维导图、能力词云、主讲老师等信息；支持查看各项目难度、推送情况、班级完成人数、任务数量等信息；支持按照全部内容、实战项目、理论项目类型查看班级内项目；支持查看本章简介与章节思维导图；</w:t>
            </w:r>
          </w:p>
          <w:p w14:paraId="6A6397AA">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10.支持班级的课程编辑，支持添加、修改、删除章节；支持添加、删除项目；支持编辑简介；</w:t>
            </w:r>
          </w:p>
          <w:p w14:paraId="7B7774CB">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11.支持展示项目内任务总数、任务的类型、实战次数、平均任务用时、推送状态、答案状态、实验系统；支持项目内批量操作推送、收回推送、开放答案、收回答案、项目编辑等；</w:t>
            </w:r>
          </w:p>
          <w:p w14:paraId="27DA0A6C">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12.学生管理：支持教师查看已加入当前班级的学生列表与申请加入班级的学生列表；当教学班设置为需要审核才能加入时，老师可审批通过邀请码方式加入的学生，支持批量通过审批；支持教师将学生移除教学班、批量重置学生密码；支持通过模板批量导入学生。</w:t>
            </w:r>
          </w:p>
          <w:p w14:paraId="4ECD9215">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13.团队管理：支持教师发起团队分组，设置组数和每组人数。设置分组后可以设置教学班内团队的组长，为小组添加\删除小组成员。教师可查看班级中未进入团队的学生，支持刷新团队信息。</w:t>
            </w:r>
          </w:p>
          <w:p w14:paraId="0D9655B8">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14考勤：支持在课堂上随时发起签到，支持设置开始签到时间，学生可输入老师发布的签到口令进行签到；支持教师根据实际情况，调整班级内学生的签到结果；支持老师通过班级和学生两个维度查看班级考勤详情；支持教师查看班级平均签到率及统计签到次数。支持老师导出学生签到考勤；</w:t>
            </w:r>
          </w:p>
          <w:p w14:paraId="3514E5B6">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15.作业：可按全部、待评分、已完成筛选查看学生提交的作业；可查看每个作业的提交情况、下载作业、对作业进行评分；可自定义批量下载或全部打包下载学生提交的作业；可退回学生的作业附件；可针对学生作业进行批量评分；</w:t>
            </w:r>
          </w:p>
          <w:p w14:paraId="3A230AAD">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16.测验：教师可查看学生随堂测验和视频测验的详情（测验名称、题数、完成人数、平均分数、每个学生当前试卷的答题详情等），教师还可通过学情分析从测验试题的维度查看详情，支持查看每道题题干和答题选项，以及每个选项正确率，和每个学生该道题的答题情况等信息。</w:t>
            </w:r>
          </w:p>
          <w:p w14:paraId="1575CBF1">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17.总结：支持教师对学生总结进行查看和打分；支持个人总结和团队总结两种总结提交方式，并支持分别打分和设置考核权重；支持查看未提交人数或未提交团队数；支持批量导出学生总结；支持教师退回已提交的总结，学生可重新提交。</w:t>
            </w:r>
          </w:p>
          <w:p w14:paraId="3F9FA315">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18.项目报告：支持个人报告和团队总结两种总结提交方式，并支持分别打分和批量打分；支持查看未提交人数或未提交团队数；支持批量导出学生报告；支持教师退回已提交的报告，学生可重新提交。</w:t>
            </w:r>
          </w:p>
          <w:p w14:paraId="64F598E8">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19.团队成果：支持查看全部、待评分、已完成的团队成果进行查看；可查看课程大纲中包含的团队成果，能够直接推送、开启互评、结束互评；支持教师查看小组提交情况、小组评分情况、小组排名等信息；可通过组内评分、组间互评、教师评分等方式进行成果评分；支持设置是否允许学生下载其他小组的团队成果；支持教师在开启互评后退回已提交的团队成果，学生可重新提交；支持教师打包下载学生成果；</w:t>
            </w:r>
          </w:p>
          <w:p w14:paraId="1AA41A9C">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20.班级设置：展示教学班信息；支持设置修改班级基本信息，包括教学班名称、开班时间、结束时间、上传班级封面；支持设置授课团队，支持同一个班级最多 5 名主讲老师，最多20 名课程助教，并且可随时修改；</w:t>
            </w:r>
          </w:p>
          <w:p w14:paraId="1830E88A">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（三）学生平台功能</w:t>
            </w:r>
          </w:p>
          <w:p w14:paraId="531C500E">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1.支持修改姓名、头像、性别、个性签名等基本信息。支持学生登录和退登。</w:t>
            </w:r>
          </w:p>
          <w:p w14:paraId="231D4069">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2.支持展示学生基本信息。支持学生进行教学班签到，学生输入签到口令，响应教师发起的签到进行考勤。</w:t>
            </w:r>
          </w:p>
          <w:p w14:paraId="565722A4">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3.支持展示学生当前正在学习课程、尚未完成考试的数量；支持展示所学课程的有效期、学习进度；支持展示考试的截止时间；支持学生通过点击待办列表进入教学班或考试。</w:t>
            </w:r>
          </w:p>
          <w:p w14:paraId="220D0E8F">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4.支持学生加入已配置能力模型的课程后，展示学生当前课程相关的能力掌握情况与能力进阶情况；预测学生的能力情况与岗位能力要求的匹配度；支持学生切换不同岗位/岗位群查看匹配度与职业路径。</w:t>
            </w:r>
          </w:p>
          <w:p w14:paraId="116AA593">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5.支持根据学生的学习进度及学习情况智能推荐项目，展示项目的名称、难度等信息，支持学生点击项目卡片进入项目进行学习。</w:t>
            </w:r>
          </w:p>
          <w:p w14:paraId="736149E8">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6.支持根据学生已学课程自动生成学生个人的知识图谱。</w:t>
            </w:r>
          </w:p>
          <w:p w14:paraId="19B31D23">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7.支持学生通过输入邀请码加入课程；支持查看与复制课程的邀请码。</w:t>
            </w:r>
          </w:p>
          <w:p w14:paraId="7007A060">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8.支持学生查看、下载项目中的相关知识。</w:t>
            </w:r>
          </w:p>
          <w:p w14:paraId="1A2B0201">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9.支持学生上传和提交个人项目报告，团队组长可以上传和提交团队项目报告；已提交的报告可由教师进行退回，学生重新提交；支持查看报告完成情况。</w:t>
            </w:r>
          </w:p>
          <w:p w14:paraId="2C1734AF">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10.支持学生按照教师设置的学习内容进行项目学习，支持基于理论项目和实战项目进行学习。支持按照教师设置的学习模式进行学习，包含闯关模式与自由模式；</w:t>
            </w:r>
          </w:p>
          <w:p w14:paraId="4A2FE53F">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11.支持学生上传和提交个人总结，依据教师要求，组长还可上传和提交团队总结，提交后支持查看教师评分情况。</w:t>
            </w:r>
          </w:p>
          <w:p w14:paraId="70FF8553">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二、财务共享服务中心平台功能</w:t>
            </w:r>
          </w:p>
          <w:p w14:paraId="61C32E04">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 动态建模平台：动态建模平台包含组织管理、权限管理、基础数据、流程管理、会计平台、客户化配置、系统管理、开发配置、企业绩效管理平台、影像管理、报账平台等功能；</w:t>
            </w:r>
          </w:p>
          <w:p w14:paraId="6C40DDE7">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2. 总账：财务核算系统的核心系统，支持处理从会计凭证编制到财务账簿查询的全部会计处理过程。总账作为财务会计系统的核心，除了支持企业日常基本财务核算工作中常用的凭证管理、往来核销管理、汇兑损益处理、自定义转账、期末处理、常用账簿查询等业务要求外，同时提供有现金流量分析及查询、账簿间财务折算、各财务组织间的内部交易对账与内部交易协同等特殊业务功能。投标产品制造商具有自主知识产权的企业岗位族分级能力模型，并已成功运用到教学产品研发。总账系统使用时以财务核算账簿为主组织，因此可按不同账簿分别灵活设置其业务流程；</w:t>
            </w:r>
          </w:p>
          <w:p w14:paraId="1757B4CF">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3. 应收管理：支持处理企业所有债权业务及相关管理工作，其主要包括：灵活的收款协议；应收账款确认环节灵活可配置：1) 出库确认应收账。2) 出库暂估应收——开发票确认应收。3)开发票确认应收；预收款管理；收款管理；支持应收核销：自动、手动核销，支持同币种、异币种核销，录入业务单据过程中即时核销；应收冲应付核销。多种坏账计提方法：应收余额百分比法、销货百分比法、账龄分析法计提坏账准备等；</w:t>
            </w:r>
          </w:p>
          <w:p w14:paraId="3D96FDFC">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4. 应付管理：支持处理企业所有债务业务及相关管理工作，其主要包括：灵活的付款协议；应付账款确认环节灵活可配置：1)入库确认应付账；2)入库暂估应付——收发票确认应付；3)收发票确认应付；预付款管理；付款管理；应付核销：支持自动、手动核销。支持同币种、异币种核销。支持录入业务单据过程中即时核销。支持应收冲应付核销；支持更全面的保留审计线索：记录业务日志，包括操作人、操作方式、操作内容等；</w:t>
            </w:r>
          </w:p>
          <w:p w14:paraId="2F68016A">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5. 财务报表：支持报表数据手工录入和自动计算，提供为满足教学设计案例企业的内部管理和外部监管上报要求的各种报表进行审核、汇总的服务，提供报表数据的报送管理服务，提供计划任务对报表数据进行自动批量计算。</w:t>
            </w:r>
          </w:p>
          <w:p w14:paraId="29656DD7">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6. 报表数据方案：提供全新的支持面向数据方案的行列拖拽式表样设计工具，报表数据可输出报表结构化数据，提供面向业务过程的建模过程，和简洁报表设计过程。让学生学会用所熟悉的业务术语建立数据模型，使得报表系统得以实现数据建模由面向IT转向面向业务。如提供财务人员熟悉的报表项目、科目发生额余额、会计期间、辅助核算等。</w:t>
            </w:r>
          </w:p>
          <w:p w14:paraId="1A5001E9">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7. 资金管理：支持包括企业的对外收付款、划账、结汇购汇、银行到账通知、银行对账、空白票据、期末关账结账、账户汇兑损益结转等业务。资金结算支持共享财务中心通过虚拟仿真银企直联系统，支持教学应用系统与虚拟银行的无缝集成；进行资金集中自动支付；支持资金收付款计划的报送管理、控制、分析。支持银企自动对账、成员单位对员工付款支持委托资金组织结算、资金组织设置代理结算账户、银行账户支持一个账号下设置多个币种子户等新功能；</w:t>
            </w:r>
          </w:p>
          <w:p w14:paraId="4B2EBAC8">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8. 供应链基础设置:支持采购、销售、库存等业务相关的基础设置定义。提供了采购相关设置：内部货源定义、物料订单类型设置、计划岗物料设置、采购岗物料设置、退货理由设置。提供了供应商物料对应关系定义：按物料维护供应商、按供应商维护物料等。</w:t>
            </w:r>
          </w:p>
          <w:p w14:paraId="79839806">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9. 合同管理:支持企业的各种合同的管理：采购合同、销售合同、其他付款合同、其他收款合同。支持框架协议、具体到物料等不同形式的合同。支持合同的状态管理。合同中全面支持多单位的应用。支持组织、物料的多版本应用。提供合同的全面跟踪，以及汇总查询等；</w:t>
            </w:r>
          </w:p>
          <w:p w14:paraId="3EE577F7">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10. 采购管理:是指企业管理人员在了解市场供求情况，认识企业生产经营活动过程中和掌握物料消耗规律的基础上对计划期内物料采购管理活动所做的预见性的安排和部署。支持依据采购合同进行采购订单、采购到货、采购入库、采购结算与付款，支持单据追溯，可从流程中某一单据追溯到其上下游单据，加强采购过程管理。</w:t>
            </w:r>
          </w:p>
          <w:p w14:paraId="51DBD988">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11. 销售管理：是以销售订单为核心，支持对销售价格、发货、发票、结算等业务进行综合有效管理。系统支持多种销售模式和结算模式，同时提供丰富的销售报表，辅助管理人员进行销售决策。支持用户自定义销售流程。支持先货后票、先票后货、货票并行等业务流程。支持事找人，业务流中配置发货单时，根据业务消息配置，给接收人发送业务消息，接收人在业务消息中心可以查看到该条消息；</w:t>
            </w:r>
          </w:p>
          <w:p w14:paraId="2FC60BB9">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12 库存管理：企业采购、生产、设备运维等日常计划和控制的基础，支持通过对仓库、货位等管理及出入库业务的管理来及时反映各种物料的仓储和流向情况，为企业其他的日常业务活动和财务核算提供依据。并通过必要的库存分析，为企业管理人员提供各类统计分析信息。支持出入库管理、在库管理，以及相关的库存统计和分析；</w:t>
            </w:r>
          </w:p>
          <w:p w14:paraId="05042C7D">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13. 存货核算：反应企业物料的成本信息。支持接收各业务系统的数据，如：采购入库单、产成品入库单、调拨出库单、其他出库单等。存货核算系统同时也支持自制各种业务单据来反映企业物料的成本信息。支持五种计价方式来核算物料成本，它们分别是：先进先出、移动平均、全月平均、计划价、个别计价。支持计算企业物料的收发成本并提供相应的账表查询；</w:t>
            </w:r>
          </w:p>
          <w:p w14:paraId="13DB65F6">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14. 仿真商旅服务平台：提供移动报账终端登陆二维码，通过扫描二维码打开移动报账终端，也可以在web端通过网页直接打开。实现移动报销平台与社会化商业平台连接，如出行服务，商旅服务等，使得相关报销数据自动流转到共享中心报账平台，打通服务预定、自动报账、网银支付、自动凭证，服务报告一体化整合应用。学生可在移动端通过仿真携程平台预订机票、形成差旅费报销单，支持事前预算事中控制事后分析的费用管控互动学习；</w:t>
            </w:r>
          </w:p>
          <w:p w14:paraId="3AB1D4C1">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15. 共享大数据看板，支持学生可以定义多组绩效看板实验，同时在多个大屏上展示不同的内容。每组绩效看板可以定义多块展板，每块展板可以设置不同的停留时间。每块展板支持按照 16 宫格细分，可以自由合并或拆分，并定义展示内容，满足学生数据分析学习需要。</w:t>
            </w:r>
          </w:p>
          <w:p w14:paraId="32554F3E">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16. 共享单据稽核：支持学生开展共享稽核实验，包括稽核内容、稽核问题类型、稽核任务、单据抽取、稽核报告、单据稽核等功能。稽核时，可以查看当前单据的卡片界面，显示附件数量并查看、联查凭证、联查预算、影像查看、联查发票、联查审批情况、联查上下游单据等与当前单据有关的所有信息，但不可做任何修改。</w:t>
            </w:r>
          </w:p>
          <w:p w14:paraId="3731E3CD">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17. 仿真网银功能：教学平台中预置案例集团公司、客户、供应商、个人的银行账号查询，支持使用案例集团的账号登陆模拟网银系统。模拟网银中包括现金业务、转账业务、查询业务等，可以进行仿真的转账业务处理以及业务查询；</w:t>
            </w:r>
          </w:p>
          <w:p w14:paraId="591A9317">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18. 仿真税务云平台：包含首页、企业开票、企业受票、增值税管理、个人所得税管理、纳税申报、风控预警、应用设置，提供企业运营中涉及税务及发票的管理、核算、风险管控，全方位实现业、财、税、票的一体化、数字化管理。支持教学应用系统与仿真税务云的无缝集成；实现增值税电子普通发票的开票、发票验真、进项税认证、增值税与附加税费申报与缴纳等为核心的全方位税务管理，并和仿真国家电子税务局连接，完成一键报税；</w:t>
            </w:r>
          </w:p>
          <w:p w14:paraId="18E1327A">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cs="宋体"/>
                <w:color w:val="000000" w:themeColor="text1"/>
                <w:sz w:val="18"/>
                <w:szCs w:val="18"/>
                <w:shd w:val="clear" w:color="auto" w:fill="FFFFFF"/>
                <w:lang w:val="en-US" w:eastAsia="zh-CN"/>
                <w14:textFill>
                  <w14:solidFill>
                    <w14:schemeClr w14:val="tx1"/>
                  </w14:solidFill>
                </w14:textFill>
              </w:rPr>
              <w:t>19</w:t>
            </w:r>
            <w:r>
              <w:rPr>
                <w:rFonts w:hint="eastAsia" w:ascii="宋体" w:hAnsi="宋体" w:eastAsia="宋体" w:cs="宋体"/>
                <w:color w:val="000000" w:themeColor="text1"/>
                <w:sz w:val="18"/>
                <w:szCs w:val="18"/>
                <w:shd w:val="clear" w:color="auto" w:fill="FFFFFF"/>
                <w14:textFill>
                  <w14:solidFill>
                    <w14:schemeClr w14:val="tx1"/>
                  </w14:solidFill>
                </w14:textFill>
              </w:rPr>
              <w:t>. 仿真自然人税收管理：模拟自然人税收管理系统扣缴个税申报，具有人员信息采集、综合所得申报等功能。</w:t>
            </w:r>
          </w:p>
          <w:p w14:paraId="285DEADB">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2</w:t>
            </w:r>
            <w:r>
              <w:rPr>
                <w:rFonts w:hint="eastAsia" w:ascii="宋体" w:hAnsi="宋体" w:cs="宋体"/>
                <w:color w:val="000000" w:themeColor="text1"/>
                <w:sz w:val="18"/>
                <w:szCs w:val="18"/>
                <w:shd w:val="clear" w:color="auto" w:fill="FFFFFF"/>
                <w:lang w:val="en-US" w:eastAsia="zh-CN"/>
                <w14:textFill>
                  <w14:solidFill>
                    <w14:schemeClr w14:val="tx1"/>
                  </w14:solidFill>
                </w14:textFill>
              </w:rPr>
              <w:t>0</w:t>
            </w:r>
            <w:r>
              <w:rPr>
                <w:rFonts w:hint="eastAsia" w:ascii="宋体" w:hAnsi="宋体" w:eastAsia="宋体" w:cs="宋体"/>
                <w:color w:val="000000" w:themeColor="text1"/>
                <w:sz w:val="18"/>
                <w:szCs w:val="18"/>
                <w:shd w:val="clear" w:color="auto" w:fill="FFFFFF"/>
                <w14:textFill>
                  <w14:solidFill>
                    <w14:schemeClr w14:val="tx1"/>
                  </w14:solidFill>
                </w14:textFill>
              </w:rPr>
              <w:t>. 仿真电子会计档案：支持对电子会计档案立卷、归档、查询与借阅等相关操作，仿真还原共享服务中心对电子会计档案管理的相关操作。支持多种影像采集方式对纸质档案进行采集，支持凭证以及影像文件的装册、浏览，档案装册完成后所有已装册的档案盒自动归档，归档的档案盒对应的纸质档案自动上架到档案保管位置方便调阅，通过建立电子会计档案与纸质会计档案索引关系，实现互阅互查；</w:t>
            </w:r>
          </w:p>
          <w:p w14:paraId="5C676AB0">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2</w:t>
            </w:r>
            <w:r>
              <w:rPr>
                <w:rFonts w:hint="eastAsia" w:ascii="宋体" w:hAnsi="宋体" w:cs="宋体"/>
                <w:color w:val="000000" w:themeColor="text1"/>
                <w:sz w:val="18"/>
                <w:szCs w:val="18"/>
                <w:shd w:val="clear" w:color="auto" w:fill="FFFFFF"/>
                <w:lang w:val="en-US" w:eastAsia="zh-CN"/>
                <w14:textFill>
                  <w14:solidFill>
                    <w14:schemeClr w14:val="tx1"/>
                  </w14:solidFill>
                </w14:textFill>
              </w:rPr>
              <w:t>1</w:t>
            </w:r>
            <w:r>
              <w:rPr>
                <w:rFonts w:hint="eastAsia" w:ascii="宋体" w:hAnsi="宋体" w:eastAsia="宋体" w:cs="宋体"/>
                <w:color w:val="000000" w:themeColor="text1"/>
                <w:sz w:val="18"/>
                <w:szCs w:val="18"/>
                <w:shd w:val="clear" w:color="auto" w:fill="FFFFFF"/>
                <w14:textFill>
                  <w14:solidFill>
                    <w14:schemeClr w14:val="tx1"/>
                  </w14:solidFill>
                </w14:textFill>
              </w:rPr>
              <w:t>. 共享数据查询中心：通过共享数据查询中心可以随时查看费用共享、采购应付共享、销售应收共享、固定资产共享、总账共享等的数据，数据内容可以通过图表直观展示；</w:t>
            </w:r>
          </w:p>
          <w:p w14:paraId="7CE5A9AF">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23. 共享中心知识管理：支持管理人员将企业公共的知识如:报销制度、业务的操作指引等与具体业务关联，使员工（学生）处理业务时可方便查看；支持发布公共知识，供搜索并查看；支持对报账业务进行简要说明，在报账平台的菜单上可看到单据对应的业务说明。</w:t>
            </w:r>
          </w:p>
          <w:p w14:paraId="288DDAED">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23. VR动感体验：通过VR动感体验走进财务共享服务中心，直观了解FSSC的空间结构，熟悉FSSC的组织部门分布；通过财务共享服务中心打卡，了解财务共享服务中心部门/岗位职责及财务常用办公设备，通过具体场景下的客观题任务增强学生学习积极性；通过VR直观体验从填制报销单到凭证审核的费用共享全流程；</w:t>
            </w:r>
          </w:p>
          <w:p w14:paraId="49D05D27">
            <w:pPr>
              <w:spacing w:line="380" w:lineRule="exact"/>
              <w:jc w:val="left"/>
              <w:rPr>
                <w:rFonts w:hint="eastAsia" w:ascii="宋体" w:hAnsi="宋体" w:eastAsia="宋体" w:cs="宋体"/>
                <w:color w:val="000000" w:themeColor="text1"/>
                <w:sz w:val="18"/>
                <w:szCs w:val="18"/>
                <w:shd w:val="clear" w:color="auto" w:fill="FFFFFF"/>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三、平台教学内容</w:t>
            </w:r>
          </w:p>
          <w:p w14:paraId="60BE9D68">
            <w:pPr>
              <w:spacing w:line="380" w:lineRule="exact"/>
              <w:jc w:val="left"/>
              <w:rPr>
                <w:rFonts w:hint="eastAsia" w:ascii="宋体" w:hAnsi="宋体" w:eastAsia="宋体" w:cs="宋体"/>
                <w:color w:val="000000" w:themeColor="text1"/>
                <w:sz w:val="18"/>
                <w:szCs w:val="18"/>
                <w:shd w:val="clear" w:color="auto" w:fill="FFFFFF"/>
                <w:lang w:val="en-US" w:eastAsia="zh-CN"/>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1.平台须提供丰富的财务共享服务中心实践教学项目，涵盖财务共享服务概述、VR走进共享服务中心、共享中心抢单实训、差旅费报销实训、智能商旅服务实训、专项费用报销实训、收单机器人应用实训、备品备件采购实训、原燃料采购实训、产成品销售实训、其他商品销售实训、到账通知发布实训、收付款合同结算实训、外部委托付款实训、其他收付款结算实训、固定资产新增实训、固定资产变动与折旧实训、税务共享实训、档案共享实训、总账共享实训、报表共享实训、FSSC运营管理实训等内容。</w:t>
            </w:r>
          </w:p>
        </w:tc>
      </w:tr>
      <w:tr w14:paraId="1D566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BCDE32">
            <w:pPr>
              <w:spacing w:line="380" w:lineRule="exact"/>
              <w:ind w:right="-57" w:rightChars="-27"/>
              <w:jc w:val="center"/>
              <w:rPr>
                <w:rFonts w:hint="eastAsia" w:ascii="宋体" w:hAnsi="宋体"/>
                <w:bCs/>
                <w:sz w:val="24"/>
                <w:szCs w:val="24"/>
              </w:rPr>
            </w:pPr>
            <w:r>
              <w:rPr>
                <w:rFonts w:hint="eastAsia" w:ascii="宋体" w:hAnsi="宋体"/>
                <w:bCs/>
                <w:sz w:val="24"/>
                <w:szCs w:val="24"/>
              </w:rPr>
              <w:t>合计</w:t>
            </w:r>
          </w:p>
        </w:tc>
        <w:tc>
          <w:tcPr>
            <w:tcW w:w="8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7B8856">
            <w:pPr>
              <w:spacing w:line="380" w:lineRule="exact"/>
              <w:ind w:right="-57" w:rightChars="-27"/>
              <w:jc w:val="center"/>
              <w:rPr>
                <w:rFonts w:hint="eastAsia" w:ascii="宋体" w:hAnsi="宋体"/>
                <w:bCs/>
                <w:sz w:val="24"/>
                <w:szCs w:val="24"/>
              </w:rPr>
            </w:pPr>
          </w:p>
        </w:tc>
        <w:tc>
          <w:tcPr>
            <w:tcW w:w="73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AF7811">
            <w:pPr>
              <w:spacing w:line="380" w:lineRule="exact"/>
              <w:ind w:right="-57" w:rightChars="-27"/>
              <w:jc w:val="center"/>
              <w:rPr>
                <w:rFonts w:hint="eastAsia" w:ascii="宋体" w:hAnsi="宋体"/>
                <w:bCs/>
                <w:sz w:val="24"/>
                <w:szCs w:val="24"/>
              </w:rPr>
            </w:pPr>
          </w:p>
        </w:tc>
      </w:tr>
    </w:tbl>
    <w:p w14:paraId="45BE5B1C">
      <w:pPr>
        <w:spacing w:line="360" w:lineRule="auto"/>
        <w:ind w:right="-624" w:rightChars="-297"/>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E79"/>
    <w:rsid w:val="000D72F9"/>
    <w:rsid w:val="00196BF1"/>
    <w:rsid w:val="00275E80"/>
    <w:rsid w:val="006D28C3"/>
    <w:rsid w:val="00791C95"/>
    <w:rsid w:val="00870E79"/>
    <w:rsid w:val="008D6AE7"/>
    <w:rsid w:val="00DD43E2"/>
    <w:rsid w:val="00DE416E"/>
    <w:rsid w:val="02477318"/>
    <w:rsid w:val="04730898"/>
    <w:rsid w:val="07150B2E"/>
    <w:rsid w:val="0CF03606"/>
    <w:rsid w:val="0DA63A8D"/>
    <w:rsid w:val="0F7E19D0"/>
    <w:rsid w:val="0FFF1232"/>
    <w:rsid w:val="14D07641"/>
    <w:rsid w:val="17C0797B"/>
    <w:rsid w:val="1C1B78F6"/>
    <w:rsid w:val="1E393A56"/>
    <w:rsid w:val="2228720A"/>
    <w:rsid w:val="24374FE7"/>
    <w:rsid w:val="28C57065"/>
    <w:rsid w:val="292757C1"/>
    <w:rsid w:val="2A3D1CDF"/>
    <w:rsid w:val="2E8D23D3"/>
    <w:rsid w:val="2F662C24"/>
    <w:rsid w:val="2FC00586"/>
    <w:rsid w:val="35F42D38"/>
    <w:rsid w:val="3A773C7E"/>
    <w:rsid w:val="3D1F50DD"/>
    <w:rsid w:val="3D3305EA"/>
    <w:rsid w:val="3F8C5D8F"/>
    <w:rsid w:val="40A11D0E"/>
    <w:rsid w:val="436F74A1"/>
    <w:rsid w:val="54417C4B"/>
    <w:rsid w:val="549F610D"/>
    <w:rsid w:val="557B26D6"/>
    <w:rsid w:val="5E196F30"/>
    <w:rsid w:val="61F53810"/>
    <w:rsid w:val="62F12683"/>
    <w:rsid w:val="647C292B"/>
    <w:rsid w:val="65FE31D0"/>
    <w:rsid w:val="6AAF1182"/>
    <w:rsid w:val="6EEA440D"/>
    <w:rsid w:val="702E686B"/>
    <w:rsid w:val="70BA00FF"/>
    <w:rsid w:val="730D09BA"/>
    <w:rsid w:val="743E4BA3"/>
    <w:rsid w:val="75387F95"/>
    <w:rsid w:val="7AD61FD9"/>
    <w:rsid w:val="7E973DA9"/>
    <w:rsid w:val="7F00587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USER</Company>
  <Pages>7</Pages>
  <Words>6974</Words>
  <Characters>7108</Characters>
  <Lines>1</Lines>
  <Paragraphs>1</Paragraphs>
  <TotalTime>3</TotalTime>
  <ScaleCrop>false</ScaleCrop>
  <LinksUpToDate>false</LinksUpToDate>
  <CharactersWithSpaces>7143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2019-12-26T01:57:00Z</dcterms:created>
  <dc:creator>lenovo</dc:creator>
  <cp:lastModifiedBy>纪肖肖</cp:lastModifiedBy>
  <dcterms:modified xsi:type="dcterms:W3CDTF">2025-11-28T04:44:25Z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eyJoZGlkIjoiNWFmMTU2Mjk0Y2YzNzljZTZhZWE3YTE3MWFhNDBjNmUiLCJ1c2VySWQiOiIyMzgzMTkxNzIifQ==</vt:lpwstr>
  </property>
  <property fmtid="{D5CDD505-2E9C-101B-9397-08002B2CF9AE}" pid="3" name="KSOProductBuildVer">
    <vt:lpwstr>2052-12.1.0.20305</vt:lpwstr>
  </property>
  <property fmtid="{D5CDD505-2E9C-101B-9397-08002B2CF9AE}" pid="4" name="ICV">
    <vt:lpwstr>B722CB4A58824DEC8272215D5E5530BC_13</vt:lpwstr>
  </property>
</Properties>
</file>